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A050" w14:textId="77777777" w:rsidR="00FE067E" w:rsidRDefault="00CD36CF" w:rsidP="00F35C12">
      <w:pPr>
        <w:pStyle w:val="TitlePageOrigin"/>
      </w:pPr>
      <w:r>
        <w:t>WEST virginia legislature</w:t>
      </w:r>
    </w:p>
    <w:p w14:paraId="1EC3F76E" w14:textId="77777777" w:rsidR="00CD36CF" w:rsidRDefault="00470D6E" w:rsidP="00F35C12">
      <w:pPr>
        <w:pStyle w:val="TitlePageSession"/>
      </w:pPr>
      <w:r>
        <w:t>20</w:t>
      </w:r>
      <w:r w:rsidR="007C2B4B">
        <w:t>2</w:t>
      </w:r>
      <w:r w:rsidR="00B43A99">
        <w:t>3</w:t>
      </w:r>
      <w:r w:rsidR="00CD36CF">
        <w:t xml:space="preserve"> regular session</w:t>
      </w:r>
    </w:p>
    <w:p w14:paraId="5EF7ECAF" w14:textId="77777777" w:rsidR="00CD36CF" w:rsidRDefault="00AB527D" w:rsidP="00F35C12">
      <w:pPr>
        <w:pStyle w:val="TitlePageBillPrefix"/>
      </w:pPr>
      <w:sdt>
        <w:sdtPr>
          <w:tag w:val="IntroDate"/>
          <w:id w:val="-1236936958"/>
          <w:placeholder>
            <w:docPart w:val="0E78D3ECE9D247E29E62F5549C833901"/>
          </w:placeholder>
          <w:text/>
        </w:sdtPr>
        <w:sdtEndPr/>
        <w:sdtContent>
          <w:r w:rsidR="00E379D8">
            <w:t>Originating</w:t>
          </w:r>
        </w:sdtContent>
      </w:sdt>
    </w:p>
    <w:p w14:paraId="683FD87A" w14:textId="73AB4E3A" w:rsidR="00CD36CF" w:rsidRDefault="00AB527D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1751E4A4714E49D78FD2B369B2C1D2B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>
            <w:t>Senate</w:t>
          </w:r>
        </w:sdtContent>
      </w:sdt>
      <w:r w:rsidR="00303684">
        <w:t xml:space="preserve"> </w:t>
      </w:r>
      <w:r w:rsidR="00E379D8">
        <w:t>Bill</w:t>
      </w:r>
      <w:r w:rsidR="00A168CD">
        <w:t xml:space="preserve"> 732</w:t>
      </w:r>
    </w:p>
    <w:p w14:paraId="7460B787" w14:textId="19F7E3BB" w:rsidR="00CD36CF" w:rsidRDefault="00CD36CF" w:rsidP="00F35C1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AC63ECD1FF7F4B118C635118BB1C3161"/>
          </w:placeholder>
          <w:text w:multiLine="1"/>
        </w:sdtPr>
        <w:sdtEndPr/>
        <w:sdtContent>
          <w:r w:rsidR="002B743C">
            <w:t>Senators Maroney, Takubo, Azinger, Chapman, Deeds, Grady, Hamilton, Hunt, Plymale, Roberts, Tarr, and Weld</w:t>
          </w:r>
        </w:sdtContent>
      </w:sdt>
    </w:p>
    <w:p w14:paraId="3D6DB5DF" w14:textId="7078D1C7" w:rsidR="00E831B3" w:rsidRDefault="00CD36CF" w:rsidP="00F35C12">
      <w:pPr>
        <w:pStyle w:val="References"/>
      </w:pPr>
      <w:r>
        <w:t>[</w:t>
      </w:r>
      <w:r w:rsidR="00E379D8">
        <w:t xml:space="preserve">Originating in the Committee on </w:t>
      </w:r>
      <w:sdt>
        <w:sdtPr>
          <w:tag w:val="References"/>
          <w:id w:val="-1043047873"/>
          <w:placeholder>
            <w:docPart w:val="CA6694ACAF754183A5674860632EEDE8"/>
          </w:placeholder>
          <w:text w:multiLine="1"/>
        </w:sdtPr>
        <w:sdtEndPr/>
        <w:sdtContent>
          <w:r w:rsidR="00260E76">
            <w:t>Health and Human Resources</w:t>
          </w:r>
        </w:sdtContent>
      </w:sdt>
      <w:r w:rsidR="00E379D8">
        <w:t xml:space="preserve">; </w:t>
      </w:r>
      <w:r w:rsidR="00C138DF">
        <w:t>r</w:t>
      </w:r>
      <w:r w:rsidR="00E379D8">
        <w:t xml:space="preserve">eported on </w:t>
      </w:r>
      <w:sdt>
        <w:sdtPr>
          <w:id w:val="-566653316"/>
          <w:placeholder>
            <w:docPart w:val="0C7962BE8D0D4A32BCAE56C3654308AD"/>
          </w:placeholder>
          <w:text/>
        </w:sdtPr>
        <w:sdtEndPr/>
        <w:sdtContent>
          <w:r w:rsidR="00260E76">
            <w:t>February 2</w:t>
          </w:r>
          <w:r w:rsidR="00C138DF">
            <w:t>4</w:t>
          </w:r>
          <w:r w:rsidR="00260E76">
            <w:t>, 2023</w:t>
          </w:r>
        </w:sdtContent>
      </w:sdt>
      <w:r>
        <w:t>]</w:t>
      </w:r>
    </w:p>
    <w:p w14:paraId="0FFC8175" w14:textId="64FF29FD" w:rsidR="00260E76" w:rsidRDefault="00260E76" w:rsidP="00F35C12">
      <w:pPr>
        <w:pStyle w:val="References"/>
      </w:pPr>
    </w:p>
    <w:p w14:paraId="2BFAA980" w14:textId="4A455E21" w:rsidR="00260E76" w:rsidRDefault="00260E76" w:rsidP="00F35C12">
      <w:pPr>
        <w:pStyle w:val="References"/>
      </w:pPr>
    </w:p>
    <w:p w14:paraId="388264AD" w14:textId="5C200CCA" w:rsidR="00260E76" w:rsidRPr="00260E76" w:rsidRDefault="00260E76" w:rsidP="00260E76">
      <w:pPr>
        <w:pageBreakBefore/>
        <w:ind w:left="720" w:hanging="720"/>
        <w:jc w:val="both"/>
        <w:rPr>
          <w:rFonts w:eastAsia="Calibri"/>
          <w:color w:val="auto"/>
        </w:rPr>
      </w:pPr>
      <w:r w:rsidRPr="00260E76">
        <w:rPr>
          <w:rFonts w:eastAsia="Calibri"/>
          <w:color w:val="auto"/>
        </w:rPr>
        <w:lastRenderedPageBreak/>
        <w:t>A BILL to amend the Code of West Virginia, 1931, as amended, by adding thereto a new section, designated §33-15-23; to amend said code by adding thereto a new section designated §33-16-19; to amend said code by adding thereto a new section designated §33-24-7x; to amend said code by adding thereto a new section designated §33-25-8u; and to amend said code by adding thereto a new section designated §33-25A-8x, all relating to prohibiting an insurer from imposing a copayment, for services rendered by a licensed occupational therapist, licensed occupational therapist assistant, licensed speech-language pathologist, licensed speech-language pathologist assistant, licensed physical therapist or a licensed physical therapist assistant, that is more than a copayment imposed for the services of a primary care physician or an osteopathic physician.</w:t>
      </w:r>
    </w:p>
    <w:p w14:paraId="7D5D0900" w14:textId="77777777" w:rsidR="00260E76" w:rsidRPr="00260E76" w:rsidRDefault="00260E76" w:rsidP="00260E76">
      <w:pPr>
        <w:suppressLineNumbers/>
        <w:rPr>
          <w:rFonts w:eastAsia="Calibri"/>
          <w:i/>
          <w:color w:val="auto"/>
        </w:rPr>
      </w:pPr>
      <w:r w:rsidRPr="00260E76">
        <w:rPr>
          <w:rFonts w:eastAsia="Calibri"/>
          <w:i/>
          <w:color w:val="auto"/>
        </w:rPr>
        <w:t>Be it enacted by the Legislature of West Virginia:</w:t>
      </w:r>
    </w:p>
    <w:p w14:paraId="752F4221" w14:textId="77777777" w:rsidR="00260E76" w:rsidRPr="00260E76" w:rsidRDefault="00260E76" w:rsidP="00260E76">
      <w:pPr>
        <w:suppressLineNumbers/>
        <w:rPr>
          <w:rFonts w:eastAsia="Calibri"/>
          <w:i/>
          <w:color w:val="auto"/>
        </w:rPr>
        <w:sectPr w:rsidR="00260E76" w:rsidRPr="00260E76" w:rsidSect="005F00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38F80A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  <w:r w:rsidRPr="00260E76">
        <w:rPr>
          <w:rFonts w:eastAsia="Calibri"/>
          <w:b/>
          <w:caps/>
          <w:color w:val="auto"/>
          <w:sz w:val="24"/>
        </w:rPr>
        <w:t>ARTICLE 15. ACCIDENT AND SICKNESS INSURANCE.</w:t>
      </w:r>
    </w:p>
    <w:p w14:paraId="0890766C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3"/>
        <w:rPr>
          <w:rFonts w:eastAsia="Calibri"/>
          <w:b/>
          <w:color w:val="auto"/>
          <w:u w:val="single"/>
        </w:rPr>
      </w:pPr>
      <w:r w:rsidRPr="00260E76">
        <w:rPr>
          <w:rFonts w:eastAsia="Calibri"/>
          <w:b/>
          <w:color w:val="auto"/>
          <w:u w:val="single"/>
        </w:rPr>
        <w:t>§33-15-23. Copayments for certain services.</w:t>
      </w:r>
    </w:p>
    <w:p w14:paraId="291BB818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  <w:sectPr w:rsidR="00260E76" w:rsidRPr="00260E76" w:rsidSect="005F006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299"/>
        </w:sectPr>
      </w:pPr>
    </w:p>
    <w:p w14:paraId="277246AA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>(a) A policy, provision, contract, plan, or agreement subject to this article may not impose a copayment, coinsurance, or office visit deductible amount charged to the insured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insured for the services of a primary care physician or an osteopathic physician.</w:t>
      </w:r>
    </w:p>
    <w:p w14:paraId="660DA858" w14:textId="7246DD8C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>(b) The policy, provision, contract, plan, or agreement shall clearly state the availability of occupational therapy, speech-language therapy</w:t>
      </w:r>
      <w:r w:rsidR="00AB527D">
        <w:rPr>
          <w:rFonts w:eastAsia="Calibri"/>
          <w:color w:val="auto"/>
          <w:u w:val="single"/>
        </w:rPr>
        <w:t>,</w:t>
      </w:r>
      <w:r w:rsidRPr="00260E76">
        <w:rPr>
          <w:rFonts w:eastAsia="Calibri"/>
          <w:color w:val="auto"/>
          <w:u w:val="single"/>
        </w:rPr>
        <w:t xml:space="preserve"> and physical therapy coverage and all related limitations, conditions, and exclusions.</w:t>
      </w:r>
    </w:p>
    <w:p w14:paraId="350027D6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  <w:r w:rsidRPr="00260E76">
        <w:rPr>
          <w:rFonts w:eastAsia="Calibri"/>
          <w:b/>
          <w:caps/>
          <w:color w:val="auto"/>
          <w:sz w:val="24"/>
        </w:rPr>
        <w:t>ARTICLE 16. GROUP ACCIDENT AND SICKNESS INSURANCE.</w:t>
      </w:r>
    </w:p>
    <w:p w14:paraId="62051DD9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3"/>
        <w:rPr>
          <w:rFonts w:eastAsia="Calibri"/>
          <w:b/>
          <w:color w:val="auto"/>
          <w:u w:val="single"/>
        </w:rPr>
      </w:pPr>
      <w:r w:rsidRPr="00260E76">
        <w:rPr>
          <w:rFonts w:eastAsia="Calibri"/>
          <w:b/>
          <w:color w:val="auto"/>
          <w:u w:val="single"/>
        </w:rPr>
        <w:t>§33-16-19. Copayments for certain services.</w:t>
      </w:r>
    </w:p>
    <w:p w14:paraId="7956F741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lastRenderedPageBreak/>
        <w:t>(a) A group health plan, health benefit plan or network plan subject to this article may not impose a copayment, coinsurance, or office visit deductible amount charged to the insured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insured for the services of a primary care physician or an osteopathic physician.</w:t>
      </w:r>
    </w:p>
    <w:p w14:paraId="18586842" w14:textId="1742CD49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>(b)</w:t>
      </w:r>
      <w:r w:rsidR="00AB527D">
        <w:rPr>
          <w:rFonts w:eastAsia="Calibri"/>
          <w:color w:val="auto"/>
          <w:u w:val="single"/>
        </w:rPr>
        <w:t xml:space="preserve"> </w:t>
      </w:r>
      <w:r w:rsidRPr="00260E76">
        <w:rPr>
          <w:rFonts w:eastAsia="Calibri"/>
          <w:color w:val="auto"/>
          <w:u w:val="single"/>
        </w:rPr>
        <w:t>The group health plan, health benefit plan or network plan shall clearly state the availability of occupational therapy, speech-language therapy</w:t>
      </w:r>
      <w:r w:rsidR="00AB527D">
        <w:rPr>
          <w:rFonts w:eastAsia="Calibri"/>
          <w:color w:val="auto"/>
          <w:u w:val="single"/>
        </w:rPr>
        <w:t xml:space="preserve">, </w:t>
      </w:r>
      <w:r w:rsidRPr="00260E76">
        <w:rPr>
          <w:rFonts w:eastAsia="Calibri"/>
          <w:color w:val="auto"/>
          <w:u w:val="single"/>
        </w:rPr>
        <w:t>and physical therapy coverage and all related limitations, conditions, and exclusions.</w:t>
      </w:r>
    </w:p>
    <w:p w14:paraId="0F184857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  <w:r w:rsidRPr="00260E76">
        <w:rPr>
          <w:rFonts w:eastAsia="Calibri"/>
          <w:b/>
          <w:caps/>
          <w:color w:val="auto"/>
          <w:sz w:val="24"/>
        </w:rPr>
        <w:t>ARTICLE 24. HOSPITAL SERVICE CORPORATIONS, MEDICAL SERVICE</w:t>
      </w:r>
      <w:r w:rsidRPr="00260E76">
        <w:rPr>
          <w:rFonts w:ascii="Courier New" w:eastAsia="Calibri" w:hAnsi="Courier New" w:cs="Courier New"/>
          <w:bCs/>
          <w:caps/>
          <w:color w:val="auto"/>
          <w:sz w:val="24"/>
        </w:rPr>
        <w:t xml:space="preserve"> </w:t>
      </w:r>
      <w:r w:rsidRPr="00260E76">
        <w:rPr>
          <w:rFonts w:eastAsia="Calibri"/>
          <w:b/>
          <w:caps/>
          <w:color w:val="auto"/>
          <w:sz w:val="24"/>
        </w:rPr>
        <w:t>CORPORATIONS, DENTAL SERVICE CORPORATIONS AND</w:t>
      </w:r>
      <w:r w:rsidRPr="00260E76">
        <w:rPr>
          <w:rFonts w:ascii="Courier New" w:eastAsia="Calibri" w:hAnsi="Courier New" w:cs="Courier New"/>
          <w:bCs/>
          <w:caps/>
          <w:color w:val="auto"/>
          <w:sz w:val="24"/>
        </w:rPr>
        <w:t xml:space="preserve"> </w:t>
      </w:r>
      <w:r w:rsidRPr="00260E76">
        <w:rPr>
          <w:rFonts w:eastAsia="Calibri"/>
          <w:b/>
          <w:caps/>
          <w:color w:val="auto"/>
          <w:sz w:val="24"/>
        </w:rPr>
        <w:t>HEALTH SERVICE CORPORATIONS.</w:t>
      </w:r>
    </w:p>
    <w:p w14:paraId="319BD95B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3"/>
        <w:rPr>
          <w:rFonts w:eastAsia="Calibri"/>
          <w:b/>
          <w:color w:val="auto"/>
          <w:u w:val="single"/>
        </w:rPr>
      </w:pPr>
      <w:r w:rsidRPr="00260E76">
        <w:rPr>
          <w:rFonts w:eastAsia="Calibri"/>
          <w:b/>
          <w:color w:val="auto"/>
          <w:u w:val="single"/>
        </w:rPr>
        <w:t>§33-24-7x. Copayments for certain services.</w:t>
      </w:r>
    </w:p>
    <w:p w14:paraId="42EE4C8A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  <w:sectPr w:rsidR="00260E76" w:rsidRPr="00260E76" w:rsidSect="005F006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titlePg/>
          <w:docGrid w:linePitch="299"/>
        </w:sectPr>
      </w:pPr>
    </w:p>
    <w:p w14:paraId="4AFB2F79" w14:textId="623433BD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>(a) A policy, provision, contract, plan</w:t>
      </w:r>
      <w:r w:rsidR="00AB527D">
        <w:rPr>
          <w:rFonts w:eastAsia="Calibri"/>
          <w:color w:val="auto"/>
          <w:u w:val="single"/>
        </w:rPr>
        <w:t>,</w:t>
      </w:r>
      <w:r w:rsidRPr="00260E76">
        <w:rPr>
          <w:rFonts w:eastAsia="Calibri"/>
          <w:color w:val="auto"/>
          <w:u w:val="single"/>
        </w:rPr>
        <w:t xml:space="preserve"> or agreement subject to this article may not impose a copayment, coinsurance, or office visit deductible amount charged to a subscriber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subscriber for the services of a primary care physician or an osteopathic physician.</w:t>
      </w:r>
    </w:p>
    <w:p w14:paraId="21591551" w14:textId="7A53FA0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>(b) The policy, provision, contract, plan, or agreement shall clearly state the availability of occupational therapy, speech-language therapy</w:t>
      </w:r>
      <w:r w:rsidR="00AB527D">
        <w:rPr>
          <w:rFonts w:eastAsia="Calibri"/>
          <w:color w:val="auto"/>
          <w:u w:val="single"/>
        </w:rPr>
        <w:t>,</w:t>
      </w:r>
      <w:r w:rsidRPr="00260E76">
        <w:rPr>
          <w:rFonts w:eastAsia="Calibri"/>
          <w:color w:val="auto"/>
          <w:u w:val="single"/>
        </w:rPr>
        <w:t xml:space="preserve"> and physical therapy coverage and all related limitations, conditions, and exclusions.</w:t>
      </w:r>
    </w:p>
    <w:p w14:paraId="71938E87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  <w:r w:rsidRPr="00260E76">
        <w:rPr>
          <w:rFonts w:eastAsia="Calibri"/>
          <w:b/>
          <w:caps/>
          <w:color w:val="auto"/>
          <w:sz w:val="24"/>
        </w:rPr>
        <w:t>ARTICLE 25. HEALTH CARE CORPORATIONS.</w:t>
      </w:r>
    </w:p>
    <w:p w14:paraId="44CFC389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3"/>
        <w:rPr>
          <w:rFonts w:eastAsia="Calibri"/>
          <w:b/>
          <w:color w:val="auto"/>
          <w:u w:val="single"/>
        </w:rPr>
      </w:pPr>
      <w:r w:rsidRPr="00260E76">
        <w:rPr>
          <w:rFonts w:eastAsia="Calibri"/>
          <w:b/>
          <w:color w:val="auto"/>
          <w:u w:val="single"/>
        </w:rPr>
        <w:lastRenderedPageBreak/>
        <w:t>§33-25-8u. Copayments for certain services.</w:t>
      </w:r>
    </w:p>
    <w:p w14:paraId="718D2739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  <w:sectPr w:rsidR="00260E76" w:rsidRPr="00260E76" w:rsidSect="005F006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299"/>
        </w:sectPr>
      </w:pPr>
    </w:p>
    <w:p w14:paraId="4F26A859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 xml:space="preserve">(a) A policy, provision, contract, plan, or agreement subject to this article may not impose a copayment, coinsurance, or office visit deductible amount charged to a subscriber or member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subscriber or member for the services of a primary care physician or an osteopathic physician. </w:t>
      </w:r>
    </w:p>
    <w:p w14:paraId="191534E0" w14:textId="029EC2D3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>(b) The policy, provision, contract, plan</w:t>
      </w:r>
      <w:r w:rsidR="00AB527D">
        <w:rPr>
          <w:rFonts w:eastAsia="Calibri"/>
          <w:color w:val="auto"/>
          <w:u w:val="single"/>
        </w:rPr>
        <w:t>,</w:t>
      </w:r>
      <w:r w:rsidRPr="00260E76">
        <w:rPr>
          <w:rFonts w:eastAsia="Calibri"/>
          <w:color w:val="auto"/>
          <w:u w:val="single"/>
        </w:rPr>
        <w:t xml:space="preserve"> or agreement shall clearly state the availability of occupational therapy, speech-language therapy</w:t>
      </w:r>
      <w:r w:rsidR="00AB527D">
        <w:rPr>
          <w:rFonts w:eastAsia="Calibri"/>
          <w:color w:val="auto"/>
          <w:u w:val="single"/>
        </w:rPr>
        <w:t>,</w:t>
      </w:r>
      <w:r w:rsidRPr="00260E76">
        <w:rPr>
          <w:rFonts w:eastAsia="Calibri"/>
          <w:color w:val="auto"/>
          <w:u w:val="single"/>
        </w:rPr>
        <w:t xml:space="preserve"> and physical therapy coverage and all related limitations, conditions, and exclusions.</w:t>
      </w:r>
    </w:p>
    <w:p w14:paraId="5D9A4758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  <w:r w:rsidRPr="00260E76">
        <w:rPr>
          <w:rFonts w:eastAsia="Calibri"/>
          <w:b/>
          <w:caps/>
          <w:color w:val="auto"/>
          <w:sz w:val="24"/>
        </w:rPr>
        <w:t>ARTICLE 25A. HEALTH MAINTENANCE ORGANIZATION ACT.</w:t>
      </w:r>
    </w:p>
    <w:p w14:paraId="02AFF03C" w14:textId="77777777" w:rsidR="00260E76" w:rsidRPr="00260E76" w:rsidRDefault="00260E76" w:rsidP="00260E76">
      <w:pPr>
        <w:widowControl w:val="0"/>
        <w:suppressLineNumbers/>
        <w:ind w:left="720" w:hanging="720"/>
        <w:jc w:val="both"/>
        <w:outlineLvl w:val="3"/>
        <w:rPr>
          <w:rFonts w:eastAsia="Calibri"/>
          <w:b/>
          <w:color w:val="auto"/>
          <w:u w:val="single"/>
        </w:rPr>
      </w:pPr>
      <w:r w:rsidRPr="00260E76">
        <w:rPr>
          <w:rFonts w:eastAsia="Calibri"/>
          <w:b/>
          <w:color w:val="auto"/>
          <w:u w:val="single"/>
        </w:rPr>
        <w:t>§33-25A-8x. Copayments for certain services.</w:t>
      </w:r>
    </w:p>
    <w:p w14:paraId="329FEB8A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  <w:sectPr w:rsidR="00260E76" w:rsidRPr="00260E76" w:rsidSect="005F006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titlePg/>
          <w:docGrid w:linePitch="299"/>
        </w:sectPr>
      </w:pPr>
    </w:p>
    <w:p w14:paraId="3C1BDA63" w14:textId="77777777" w:rsidR="00260E76" w:rsidRPr="00260E76" w:rsidRDefault="00260E76" w:rsidP="00260E76">
      <w:pPr>
        <w:widowControl w:val="0"/>
        <w:ind w:firstLine="720"/>
        <w:jc w:val="both"/>
        <w:rPr>
          <w:rFonts w:eastAsia="Calibri"/>
          <w:color w:val="auto"/>
          <w:u w:val="single"/>
        </w:rPr>
      </w:pPr>
      <w:r w:rsidRPr="00260E76">
        <w:rPr>
          <w:rFonts w:eastAsia="Calibri"/>
          <w:color w:val="auto"/>
          <w:u w:val="single"/>
        </w:rPr>
        <w:t>(a) A health maintenance organization issuing coverage in this state pursuant to the provisions of this article may not impose a copayment, coinsurance, or office visit deductible amount charged to a subscriber or member for services rendered for each date of service by a licensed occupational therapist, licensed occupational therapist assistant, licensed speech-language pathologist, licensed speech-pathologist assistant, licensed physical therapist, or a licensed physical therapist assistant that is greater than the copayment, coinsurance, or office visit deductible amount charged to the subscriber or member for the services of a primary care physician or an osteopathic physician.</w:t>
      </w:r>
    </w:p>
    <w:p w14:paraId="6238EE87" w14:textId="1356FAA1" w:rsidR="00260E76" w:rsidRPr="00AB527D" w:rsidRDefault="00260E76" w:rsidP="00AB527D">
      <w:pPr>
        <w:widowControl w:val="0"/>
        <w:ind w:firstLine="720"/>
        <w:jc w:val="both"/>
        <w:rPr>
          <w:rFonts w:eastAsia="Calibri"/>
          <w:color w:val="auto"/>
        </w:rPr>
      </w:pPr>
      <w:r w:rsidRPr="00260E76">
        <w:rPr>
          <w:rFonts w:eastAsia="Calibri"/>
          <w:color w:val="auto"/>
          <w:u w:val="single"/>
        </w:rPr>
        <w:t>(b) The policy, provision, contract, plan, or agreement subject to this article shall clearly state the availability of occupational therapy, speech-language therapy</w:t>
      </w:r>
      <w:r w:rsidR="00AB527D">
        <w:rPr>
          <w:rFonts w:eastAsia="Calibri"/>
          <w:color w:val="auto"/>
          <w:u w:val="single"/>
        </w:rPr>
        <w:t>,</w:t>
      </w:r>
      <w:r w:rsidRPr="00260E76">
        <w:rPr>
          <w:rFonts w:eastAsia="Calibri"/>
          <w:color w:val="auto"/>
          <w:u w:val="single"/>
        </w:rPr>
        <w:t xml:space="preserve"> and physical therapy coverage and all related limitations, conditions, and exclusions.</w:t>
      </w:r>
    </w:p>
    <w:sectPr w:rsidR="00260E76" w:rsidRPr="00AB527D" w:rsidSect="00260E76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8875" w14:textId="77777777" w:rsidR="00187378" w:rsidRPr="00B844FE" w:rsidRDefault="00187378" w:rsidP="00B844FE">
      <w:r>
        <w:separator/>
      </w:r>
    </w:p>
  </w:endnote>
  <w:endnote w:type="continuationSeparator" w:id="0">
    <w:p w14:paraId="6D047423" w14:textId="77777777" w:rsidR="00187378" w:rsidRPr="00B844FE" w:rsidRDefault="001873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8A31F2" w14:textId="77777777" w:rsidR="00260E76" w:rsidRPr="00B844FE" w:rsidRDefault="00260E7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9AAED01" w14:textId="77777777" w:rsidR="00260E76" w:rsidRDefault="00260E7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6C422" w14:textId="77777777" w:rsidR="00260E76" w:rsidRDefault="00260E7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86A8" w14:textId="77777777" w:rsidR="00187378" w:rsidRPr="00B844FE" w:rsidRDefault="00187378" w:rsidP="00B844FE">
      <w:r>
        <w:separator/>
      </w:r>
    </w:p>
  </w:footnote>
  <w:footnote w:type="continuationSeparator" w:id="0">
    <w:p w14:paraId="7959C2E1" w14:textId="77777777" w:rsidR="00187378" w:rsidRPr="00B844FE" w:rsidRDefault="001873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379" w14:textId="77777777" w:rsidR="00260E76" w:rsidRPr="00B844FE" w:rsidRDefault="00AB527D">
    <w:pPr>
      <w:pStyle w:val="Header"/>
    </w:pPr>
    <w:sdt>
      <w:sdtPr>
        <w:id w:val="-684364211"/>
        <w:placeholder>
          <w:docPart w:val="1751E4A4714E49D78FD2B369B2C1D2BA"/>
        </w:placeholder>
        <w:temporary/>
        <w:showingPlcHdr/>
        <w15:appearance w15:val="hidden"/>
      </w:sdtPr>
      <w:sdtEndPr/>
      <w:sdtContent>
        <w:r w:rsidR="00260E76" w:rsidRPr="00B844FE">
          <w:t>[Type here]</w:t>
        </w:r>
      </w:sdtContent>
    </w:sdt>
    <w:r w:rsidR="00260E76" w:rsidRPr="00B844FE">
      <w:ptab w:relativeTo="margin" w:alignment="left" w:leader="none"/>
    </w:r>
    <w:sdt>
      <w:sdtPr>
        <w:id w:val="-556240388"/>
        <w:placeholder>
          <w:docPart w:val="1751E4A4714E49D78FD2B369B2C1D2BA"/>
        </w:placeholder>
        <w:temporary/>
        <w:showingPlcHdr/>
        <w15:appearance w15:val="hidden"/>
      </w:sdtPr>
      <w:sdtEndPr/>
      <w:sdtContent>
        <w:r w:rsidR="00260E7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A544" w14:textId="47EE40BD" w:rsidR="00260E76" w:rsidRPr="00686E9A" w:rsidRDefault="00C138DF" w:rsidP="000573A9">
    <w:pPr>
      <w:pStyle w:val="HeaderStyle"/>
      <w:rPr>
        <w:sz w:val="22"/>
        <w:szCs w:val="22"/>
      </w:rPr>
    </w:pPr>
    <w:r>
      <w:rPr>
        <w:sz w:val="22"/>
        <w:szCs w:val="22"/>
      </w:rPr>
      <w:t>Org SB 732</w:t>
    </w:r>
    <w:sdt>
      <w:sdtPr>
        <w:rPr>
          <w:sz w:val="22"/>
          <w:szCs w:val="22"/>
        </w:rPr>
        <w:alias w:val="CBD Number"/>
        <w:tag w:val="CBD Number"/>
        <w:id w:val="1176923086"/>
        <w:showingPlcHdr/>
        <w:text/>
      </w:sdtPr>
      <w:sdtEndPr/>
      <w:sdtContent>
        <w:r w:rsidR="005254F2">
          <w:rPr>
            <w:sz w:val="22"/>
            <w:szCs w:val="22"/>
          </w:rPr>
          <w:t xml:space="preserve">     </w:t>
        </w:r>
      </w:sdtContent>
    </w:sdt>
  </w:p>
  <w:p w14:paraId="4ACCD7F3" w14:textId="77777777" w:rsidR="00260E76" w:rsidRPr="004D3ABE" w:rsidRDefault="00260E76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A57" w14:textId="77777777" w:rsidR="00260E76" w:rsidRPr="004D3ABE" w:rsidRDefault="00260E76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27254623">
    <w:abstractNumId w:val="0"/>
  </w:num>
  <w:num w:numId="2" w16cid:durableId="146527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78"/>
    <w:rsid w:val="0000526A"/>
    <w:rsid w:val="00085D22"/>
    <w:rsid w:val="000C5C77"/>
    <w:rsid w:val="000D16AD"/>
    <w:rsid w:val="0010070F"/>
    <w:rsid w:val="0015112E"/>
    <w:rsid w:val="001552E7"/>
    <w:rsid w:val="001566B4"/>
    <w:rsid w:val="00187378"/>
    <w:rsid w:val="001C279E"/>
    <w:rsid w:val="001D459E"/>
    <w:rsid w:val="00230561"/>
    <w:rsid w:val="00260E76"/>
    <w:rsid w:val="0027011C"/>
    <w:rsid w:val="0027247B"/>
    <w:rsid w:val="00274200"/>
    <w:rsid w:val="00275740"/>
    <w:rsid w:val="002A0269"/>
    <w:rsid w:val="002B743C"/>
    <w:rsid w:val="00303684"/>
    <w:rsid w:val="003143F5"/>
    <w:rsid w:val="00314854"/>
    <w:rsid w:val="003C51CD"/>
    <w:rsid w:val="004247A2"/>
    <w:rsid w:val="00470D6E"/>
    <w:rsid w:val="004B2795"/>
    <w:rsid w:val="004C13DD"/>
    <w:rsid w:val="004E3441"/>
    <w:rsid w:val="004F2845"/>
    <w:rsid w:val="005254F2"/>
    <w:rsid w:val="00551C13"/>
    <w:rsid w:val="005A5366"/>
    <w:rsid w:val="00637E73"/>
    <w:rsid w:val="006865E9"/>
    <w:rsid w:val="00691F3E"/>
    <w:rsid w:val="00694BFB"/>
    <w:rsid w:val="006A106B"/>
    <w:rsid w:val="006C523D"/>
    <w:rsid w:val="006D4036"/>
    <w:rsid w:val="00704CB3"/>
    <w:rsid w:val="007C2B4B"/>
    <w:rsid w:val="007E02CF"/>
    <w:rsid w:val="007F1CF5"/>
    <w:rsid w:val="00834EDE"/>
    <w:rsid w:val="008440F9"/>
    <w:rsid w:val="008736AA"/>
    <w:rsid w:val="008D275D"/>
    <w:rsid w:val="00974F15"/>
    <w:rsid w:val="00980327"/>
    <w:rsid w:val="009F1067"/>
    <w:rsid w:val="00A168CD"/>
    <w:rsid w:val="00A31E01"/>
    <w:rsid w:val="00A527AD"/>
    <w:rsid w:val="00A718CF"/>
    <w:rsid w:val="00A760BE"/>
    <w:rsid w:val="00AB527D"/>
    <w:rsid w:val="00AE44D3"/>
    <w:rsid w:val="00AE48A0"/>
    <w:rsid w:val="00AE61BE"/>
    <w:rsid w:val="00B16F25"/>
    <w:rsid w:val="00B24422"/>
    <w:rsid w:val="00B43A99"/>
    <w:rsid w:val="00B658B6"/>
    <w:rsid w:val="00B80C20"/>
    <w:rsid w:val="00B844FE"/>
    <w:rsid w:val="00BC562B"/>
    <w:rsid w:val="00C138DF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E526B"/>
    <w:rsid w:val="00DF199D"/>
    <w:rsid w:val="00E01542"/>
    <w:rsid w:val="00E365F1"/>
    <w:rsid w:val="00E379D8"/>
    <w:rsid w:val="00E62F48"/>
    <w:rsid w:val="00E831B3"/>
    <w:rsid w:val="00EE70CB"/>
    <w:rsid w:val="00F1462C"/>
    <w:rsid w:val="00F23775"/>
    <w:rsid w:val="00F33EFF"/>
    <w:rsid w:val="00F35C12"/>
    <w:rsid w:val="00F37F5C"/>
    <w:rsid w:val="00F41CA2"/>
    <w:rsid w:val="00F443C0"/>
    <w:rsid w:val="00F62C64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8D41"/>
  <w15:chartTrackingRefBased/>
  <w15:docId w15:val="{949F21CC-2608-4D66-B341-92E3B2C0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6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locked/>
    <w:rsid w:val="00260E7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locked/>
    <w:rsid w:val="00260E7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locked/>
    <w:rsid w:val="00260E7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Originating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78D3ECE9D247E29E62F5549C833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488E-E8D9-49AD-BD20-90D7897C2DC0}"/>
      </w:docPartPr>
      <w:docPartBody>
        <w:p w:rsidR="00351620" w:rsidRDefault="00351620">
          <w:pPr>
            <w:pStyle w:val="0E78D3ECE9D247E29E62F5549C833901"/>
          </w:pPr>
          <w:r w:rsidRPr="00B844FE">
            <w:t>Prefix Text</w:t>
          </w:r>
        </w:p>
      </w:docPartBody>
    </w:docPart>
    <w:docPart>
      <w:docPartPr>
        <w:name w:val="1751E4A4714E49D78FD2B369B2C1D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5638-73DE-4ADF-9714-CCED4EEEF487}"/>
      </w:docPartPr>
      <w:docPartBody>
        <w:p w:rsidR="00351620" w:rsidRDefault="00351620">
          <w:pPr>
            <w:pStyle w:val="1751E4A4714E49D78FD2B369B2C1D2BA"/>
          </w:pPr>
          <w:r w:rsidRPr="00B844FE">
            <w:t>[Type here]</w:t>
          </w:r>
        </w:p>
      </w:docPartBody>
    </w:docPart>
    <w:docPart>
      <w:docPartPr>
        <w:name w:val="AC63ECD1FF7F4B118C635118BB1C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8666-EB87-4678-9DF5-9A5C75415AA8}"/>
      </w:docPartPr>
      <w:docPartBody>
        <w:p w:rsidR="00351620" w:rsidRDefault="00351620">
          <w:pPr>
            <w:pStyle w:val="AC63ECD1FF7F4B118C635118BB1C3161"/>
          </w:pPr>
          <w:r w:rsidRPr="00B844FE">
            <w:t>Enter Sponsors Here</w:t>
          </w:r>
        </w:p>
      </w:docPartBody>
    </w:docPart>
    <w:docPart>
      <w:docPartPr>
        <w:name w:val="CA6694ACAF754183A5674860632E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C1EF-1A9D-4794-AC69-E09ACEDE0D48}"/>
      </w:docPartPr>
      <w:docPartBody>
        <w:p w:rsidR="00351620" w:rsidRDefault="00351620">
          <w:pPr>
            <w:pStyle w:val="CA6694ACAF754183A5674860632EEDE8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C7962BE8D0D4A32BCAE56C36543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499C-7631-4473-91A3-1CC363A1707D}"/>
      </w:docPartPr>
      <w:docPartBody>
        <w:p w:rsidR="00351620" w:rsidRDefault="00351620">
          <w:pPr>
            <w:pStyle w:val="0C7962BE8D0D4A32BCAE56C3654308AD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20"/>
    <w:rsid w:val="003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78D3ECE9D247E29E62F5549C833901">
    <w:name w:val="0E78D3ECE9D247E29E62F5549C833901"/>
  </w:style>
  <w:style w:type="paragraph" w:customStyle="1" w:styleId="1751E4A4714E49D78FD2B369B2C1D2BA">
    <w:name w:val="1751E4A4714E49D78FD2B369B2C1D2BA"/>
  </w:style>
  <w:style w:type="paragraph" w:customStyle="1" w:styleId="AC63ECD1FF7F4B118C635118BB1C3161">
    <w:name w:val="AC63ECD1FF7F4B118C635118BB1C316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6694ACAF754183A5674860632EEDE8">
    <w:name w:val="CA6694ACAF754183A5674860632EEDE8"/>
  </w:style>
  <w:style w:type="paragraph" w:customStyle="1" w:styleId="0C7962BE8D0D4A32BCAE56C3654308AD">
    <w:name w:val="0C7962BE8D0D4A32BCAE56C365430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Originating Bill Shell</Template>
  <TotalTime>4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Jocelyn Ellis</cp:lastModifiedBy>
  <cp:revision>6</cp:revision>
  <cp:lastPrinted>2023-02-23T20:05:00Z</cp:lastPrinted>
  <dcterms:created xsi:type="dcterms:W3CDTF">2023-02-23T20:15:00Z</dcterms:created>
  <dcterms:modified xsi:type="dcterms:W3CDTF">2023-02-24T18:16:00Z</dcterms:modified>
</cp:coreProperties>
</file>